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湖州职业技术学院工会教职工生日蛋糕</w:t>
      </w:r>
      <w:r>
        <w:rPr>
          <w:rFonts w:ascii="宋体" w:hAnsi="宋体"/>
          <w:b/>
          <w:sz w:val="32"/>
          <w:szCs w:val="32"/>
        </w:rPr>
        <w:t>供应商准入</w:t>
      </w:r>
      <w:r>
        <w:rPr>
          <w:rFonts w:hint="eastAsia" w:ascii="宋体" w:hAnsi="宋体"/>
          <w:b/>
          <w:sz w:val="32"/>
          <w:szCs w:val="32"/>
        </w:rPr>
        <w:t>招标文件</w:t>
      </w:r>
    </w:p>
    <w:p>
      <w:pPr>
        <w:rPr>
          <w:rFonts w:ascii="仿宋" w:hAnsi="仿宋" w:eastAsia="仿宋"/>
          <w:sz w:val="24"/>
          <w:szCs w:val="24"/>
        </w:rPr>
      </w:pPr>
    </w:p>
    <w:p>
      <w:pPr>
        <w:pStyle w:val="3"/>
        <w:ind w:firstLine="420"/>
        <w:rPr>
          <w:rFonts w:hint="eastAsia"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一、项目名称：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湖州职业技术学院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" w:hAnsi="仿宋" w:eastAsia="仿宋"/>
          <w:sz w:val="24"/>
          <w:szCs w:val="24"/>
          <w:lang w:val="en-US" w:eastAsia="zh-CN"/>
        </w:rPr>
        <w:t>20年</w:t>
      </w:r>
      <w:r>
        <w:rPr>
          <w:rFonts w:hint="eastAsia" w:ascii="仿宋" w:hAnsi="仿宋" w:eastAsia="仿宋"/>
          <w:sz w:val="24"/>
          <w:szCs w:val="24"/>
        </w:rPr>
        <w:t>教职工生日蛋糕供应项目</w:t>
      </w:r>
    </w:p>
    <w:p>
      <w:pPr>
        <w:pStyle w:val="3"/>
        <w:ind w:firstLine="420"/>
        <w:rPr>
          <w:rFonts w:hint="eastAsia"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二、供应商准入资质：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企业法人及其分支机构或个体工商户；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营业执照经营内容应包含食品生产、加工、销售内容，符合本项目要求；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符合《中华人民共和国食品安全法》要求；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在湖州市中心城区设有经营网点。</w:t>
      </w:r>
    </w:p>
    <w:p>
      <w:pPr>
        <w:pStyle w:val="3"/>
        <w:ind w:firstLine="420"/>
        <w:rPr>
          <w:rFonts w:hint="eastAsia"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三、采购内容及数量：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项目内容：湖州职业技术学院工会会员生日蛋糕采购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入围数量：2家</w:t>
      </w:r>
    </w:p>
    <w:p>
      <w:pPr>
        <w:ind w:firstLine="482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预算单价：</w:t>
      </w:r>
      <w:r>
        <w:rPr>
          <w:rFonts w:hint="eastAsia" w:ascii="仿宋" w:hAnsi="仿宋" w:eastAsia="仿宋"/>
          <w:sz w:val="24"/>
          <w:szCs w:val="24"/>
        </w:rPr>
        <w:t>工会会员为人民币</w:t>
      </w:r>
      <w:r>
        <w:rPr>
          <w:rFonts w:hint="eastAsia" w:ascii="仿宋" w:hAnsi="仿宋" w:eastAsia="仿宋"/>
          <w:color w:val="FF0000"/>
          <w:sz w:val="24"/>
          <w:szCs w:val="24"/>
        </w:rPr>
        <w:t>3</w:t>
      </w:r>
      <w:r>
        <w:rPr>
          <w:rFonts w:ascii="仿宋" w:hAnsi="仿宋" w:eastAsia="仿宋"/>
          <w:color w:val="FF0000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元</w:t>
      </w:r>
      <w:r>
        <w:rPr>
          <w:rFonts w:ascii="仿宋" w:hAnsi="仿宋" w:eastAsia="仿宋"/>
          <w:sz w:val="24"/>
          <w:szCs w:val="24"/>
        </w:rPr>
        <w:t>/</w:t>
      </w:r>
      <w:r>
        <w:rPr>
          <w:rFonts w:hint="eastAsia" w:ascii="仿宋" w:hAnsi="仿宋" w:eastAsia="仿宋"/>
          <w:sz w:val="24"/>
          <w:szCs w:val="24"/>
        </w:rPr>
        <w:t>份，约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577</w:t>
      </w:r>
      <w:r>
        <w:rPr>
          <w:rFonts w:hint="eastAsia" w:ascii="仿宋" w:hAnsi="仿宋" w:eastAsia="仿宋"/>
          <w:sz w:val="24"/>
          <w:szCs w:val="24"/>
        </w:rPr>
        <w:t>份；离退休职工为人民币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300</w:t>
      </w:r>
      <w:r>
        <w:rPr>
          <w:rFonts w:hint="eastAsia" w:ascii="仿宋" w:hAnsi="仿宋" w:eastAsia="仿宋"/>
          <w:sz w:val="24"/>
          <w:szCs w:val="24"/>
        </w:rPr>
        <w:t>元</w:t>
      </w:r>
      <w:r>
        <w:rPr>
          <w:rFonts w:ascii="仿宋" w:hAnsi="仿宋" w:eastAsia="仿宋"/>
          <w:sz w:val="24"/>
          <w:szCs w:val="24"/>
        </w:rPr>
        <w:t>/</w:t>
      </w:r>
      <w:r>
        <w:rPr>
          <w:rFonts w:hint="eastAsia" w:ascii="仿宋" w:hAnsi="仿宋" w:eastAsia="仿宋"/>
          <w:sz w:val="24"/>
          <w:szCs w:val="24"/>
        </w:rPr>
        <w:t>份，约131份。（具体以合同为准）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时    间：</w:t>
      </w:r>
      <w:r>
        <w:rPr>
          <w:rFonts w:ascii="仿宋" w:hAnsi="仿宋" w:eastAsia="仿宋"/>
          <w:sz w:val="24"/>
          <w:szCs w:val="24"/>
        </w:rPr>
        <w:t>20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20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日</w:t>
      </w:r>
      <w:r>
        <w:rPr>
          <w:rFonts w:ascii="仿宋" w:hAnsi="仿宋" w:eastAsia="仿宋"/>
          <w:sz w:val="24"/>
          <w:szCs w:val="24"/>
        </w:rPr>
        <w:t>-20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20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ascii="仿宋" w:hAnsi="仿宋" w:eastAsia="仿宋"/>
          <w:sz w:val="24"/>
          <w:szCs w:val="24"/>
        </w:rPr>
        <w:t>12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ascii="仿宋" w:hAnsi="仿宋" w:eastAsia="仿宋"/>
          <w:sz w:val="24"/>
          <w:szCs w:val="24"/>
        </w:rPr>
        <w:t>31</w:t>
      </w:r>
      <w:r>
        <w:rPr>
          <w:rFonts w:hint="eastAsia" w:ascii="仿宋" w:hAnsi="仿宋" w:eastAsia="仿宋"/>
          <w:sz w:val="24"/>
          <w:szCs w:val="24"/>
        </w:rPr>
        <w:t>日。</w:t>
      </w:r>
    </w:p>
    <w:p>
      <w:pPr>
        <w:pStyle w:val="3"/>
        <w:ind w:firstLine="420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四、投标截至时间及地点：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请投标人于</w:t>
      </w:r>
      <w:r>
        <w:rPr>
          <w:rFonts w:hint="eastAsia" w:ascii="仿宋" w:hAnsi="仿宋" w:eastAsia="仿宋"/>
          <w:color w:val="FF0000"/>
          <w:sz w:val="24"/>
          <w:szCs w:val="24"/>
        </w:rPr>
        <w:t>201</w:t>
      </w:r>
      <w:r>
        <w:rPr>
          <w:rFonts w:hint="eastAsia" w:ascii="仿宋" w:hAnsi="仿宋" w:eastAsia="仿宋"/>
          <w:color w:val="FF0000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/>
          <w:color w:val="FF0000"/>
          <w:sz w:val="24"/>
          <w:szCs w:val="24"/>
        </w:rPr>
        <w:t>年12月</w:t>
      </w:r>
      <w:r>
        <w:rPr>
          <w:rFonts w:hint="eastAsia" w:ascii="仿宋" w:hAnsi="仿宋" w:eastAsia="仿宋"/>
          <w:color w:val="FF0000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/>
          <w:color w:val="FF0000"/>
          <w:sz w:val="24"/>
          <w:szCs w:val="24"/>
        </w:rPr>
        <w:t>日下午</w:t>
      </w:r>
      <w:r>
        <w:rPr>
          <w:rFonts w:hint="eastAsia" w:ascii="仿宋" w:hAnsi="仿宋" w:eastAsia="仿宋"/>
          <w:sz w:val="24"/>
          <w:szCs w:val="24"/>
        </w:rPr>
        <w:t>14: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/>
          <w:sz w:val="24"/>
          <w:szCs w:val="24"/>
        </w:rPr>
        <w:t>0前，将密封好的标书送至学府路299号湖州职业技术学院9号楼9202会议室。</w:t>
      </w:r>
    </w:p>
    <w:p>
      <w:pPr>
        <w:ind w:firstLine="482" w:firstLineChars="200"/>
        <w:rPr>
          <w:rFonts w:ascii="仿宋" w:hAnsi="仿宋" w:eastAsia="仿宋"/>
          <w:b/>
          <w:color w:val="FF0000"/>
          <w:sz w:val="24"/>
          <w:szCs w:val="24"/>
        </w:rPr>
      </w:pPr>
      <w:r>
        <w:rPr>
          <w:rFonts w:hint="eastAsia" w:ascii="仿宋" w:hAnsi="仿宋" w:eastAsia="仿宋"/>
          <w:b/>
          <w:color w:val="FF0000"/>
          <w:sz w:val="24"/>
          <w:szCs w:val="24"/>
        </w:rPr>
        <w:t>开标时间：201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年12月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日下午14: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0。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请随带身份证和样品准时参加开标会议；投标人迟到视为自动弃标。</w:t>
      </w:r>
    </w:p>
    <w:p>
      <w:pPr>
        <w:pStyle w:val="3"/>
        <w:ind w:firstLine="420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五、招标文件获取：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投标人至学府路299号湖州职业技术学院9号楼9206办公室领取。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领取招标文件时应提供有效的营业执照。</w:t>
      </w:r>
    </w:p>
    <w:p>
      <w:pPr>
        <w:pStyle w:val="3"/>
        <w:ind w:firstLine="420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六、投标文件要求：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投标人的投标文件中应包含以下内容（投标文件密封，一式两份，一正一副，装订成册。内容均须真实、有效，复印件均须加盖公章，缺少以下任意一项内容即作无效标处理）：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1.</w:t>
      </w:r>
      <w:r>
        <w:rPr>
          <w:rFonts w:hint="eastAsia" w:ascii="仿宋" w:hAnsi="仿宋" w:eastAsia="仿宋"/>
          <w:sz w:val="24"/>
          <w:szCs w:val="24"/>
        </w:rPr>
        <w:t>投标报价清单（含税金、运输费、管理费、措施费IC卡成本等全部费用）。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投标报价高于或等于采购预算（单价）的为有效报价；投标报价低于采购采购预算（单价）的为无效报价。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投标人的投标报价为</w:t>
      </w:r>
      <w:r>
        <w:rPr>
          <w:rFonts w:hint="eastAsia" w:ascii="仿宋" w:hAnsi="仿宋" w:eastAsia="仿宋"/>
          <w:color w:val="FF0000"/>
          <w:sz w:val="24"/>
          <w:szCs w:val="24"/>
        </w:rPr>
        <w:t>3</w:t>
      </w:r>
      <w:r>
        <w:rPr>
          <w:rFonts w:ascii="仿宋" w:hAnsi="仿宋" w:eastAsia="仿宋"/>
          <w:color w:val="FF0000"/>
          <w:sz w:val="24"/>
          <w:szCs w:val="24"/>
        </w:rPr>
        <w:t>00</w:t>
      </w:r>
      <w:r>
        <w:rPr>
          <w:rFonts w:hint="eastAsia" w:ascii="仿宋" w:hAnsi="仿宋" w:eastAsia="仿宋"/>
          <w:color w:val="FF0000"/>
          <w:sz w:val="24"/>
          <w:szCs w:val="24"/>
        </w:rPr>
        <w:t>元</w:t>
      </w:r>
      <w:r>
        <w:rPr>
          <w:rFonts w:ascii="仿宋" w:hAnsi="仿宋" w:eastAsia="仿宋"/>
          <w:color w:val="FF0000"/>
          <w:sz w:val="24"/>
          <w:szCs w:val="24"/>
        </w:rPr>
        <w:t>/</w:t>
      </w:r>
      <w:r>
        <w:rPr>
          <w:rFonts w:hint="eastAsia" w:ascii="仿宋" w:hAnsi="仿宋" w:eastAsia="仿宋"/>
          <w:sz w:val="24"/>
          <w:szCs w:val="24"/>
        </w:rPr>
        <w:t>份采购预算（单价）基础上的优惠报价，无论优惠大小，采购人的最终结算价为</w:t>
      </w:r>
      <w:r>
        <w:rPr>
          <w:rFonts w:hint="eastAsia" w:ascii="仿宋" w:hAnsi="仿宋" w:eastAsia="仿宋"/>
          <w:color w:val="FF0000"/>
          <w:sz w:val="24"/>
          <w:szCs w:val="24"/>
        </w:rPr>
        <w:t>3</w:t>
      </w:r>
      <w:r>
        <w:rPr>
          <w:rFonts w:ascii="仿宋" w:hAnsi="仿宋" w:eastAsia="仿宋"/>
          <w:color w:val="FF0000"/>
          <w:sz w:val="24"/>
          <w:szCs w:val="24"/>
        </w:rPr>
        <w:t>00</w:t>
      </w:r>
      <w:r>
        <w:rPr>
          <w:rFonts w:hint="eastAsia" w:ascii="仿宋" w:hAnsi="仿宋" w:eastAsia="仿宋"/>
          <w:color w:val="FF0000"/>
          <w:sz w:val="24"/>
          <w:szCs w:val="24"/>
        </w:rPr>
        <w:t>元</w:t>
      </w:r>
      <w:r>
        <w:rPr>
          <w:rFonts w:ascii="仿宋" w:hAnsi="仿宋" w:eastAsia="仿宋"/>
          <w:sz w:val="24"/>
          <w:szCs w:val="24"/>
        </w:rPr>
        <w:t>/</w:t>
      </w:r>
      <w:r>
        <w:rPr>
          <w:rFonts w:hint="eastAsia" w:ascii="仿宋" w:hAnsi="仿宋" w:eastAsia="仿宋"/>
          <w:sz w:val="24"/>
          <w:szCs w:val="24"/>
        </w:rPr>
        <w:t>份；报价以人民币计，并以大写为准。</w:t>
      </w:r>
    </w:p>
    <w:p>
      <w:pPr>
        <w:ind w:firstLine="48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投标报价清单必须单独密封。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2.</w:t>
      </w:r>
      <w:r>
        <w:rPr>
          <w:rFonts w:hint="eastAsia" w:ascii="仿宋" w:hAnsi="仿宋" w:eastAsia="仿宋"/>
          <w:sz w:val="24"/>
          <w:szCs w:val="24"/>
        </w:rPr>
        <w:t>有效的营业执照副本复印件、税务登记证副本复印件；或“三证合一”营业执照副本复印件、“五证合一”营业执照副本复印件；银行开户许可证副本复印件。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3.</w:t>
      </w:r>
      <w:r>
        <w:rPr>
          <w:rFonts w:hint="eastAsia" w:ascii="仿宋" w:hAnsi="仿宋" w:eastAsia="仿宋"/>
          <w:sz w:val="24"/>
          <w:szCs w:val="24"/>
        </w:rPr>
        <w:t>投标代表身份证复印件；如非法定代表人投标，另提供法定代表人授权委托书原件、法定代表人身份证复印件。</w:t>
      </w:r>
    </w:p>
    <w:p>
      <w:pPr>
        <w:ind w:firstLine="480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4.</w:t>
      </w:r>
      <w:r>
        <w:rPr>
          <w:rFonts w:hint="eastAsia" w:ascii="仿宋" w:hAnsi="仿宋" w:eastAsia="仿宋"/>
          <w:sz w:val="24"/>
          <w:szCs w:val="24"/>
        </w:rPr>
        <w:t>投标人在湖州市中心城区开设的经营网点数量、每个网点的地址和售卖区照片(打印件各1张)。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</w:t>
      </w:r>
      <w:r>
        <w:rPr>
          <w:rFonts w:ascii="仿宋" w:hAnsi="仿宋" w:eastAsia="仿宋"/>
          <w:sz w:val="24"/>
          <w:szCs w:val="24"/>
        </w:rPr>
        <w:t>.</w:t>
      </w:r>
      <w:r>
        <w:rPr>
          <w:rFonts w:hint="eastAsia" w:ascii="仿宋" w:hAnsi="仿宋" w:eastAsia="仿宋"/>
          <w:sz w:val="24"/>
          <w:szCs w:val="24"/>
        </w:rPr>
        <w:t>投标人提供的产品清单（品名、规格、单价）。</w:t>
      </w:r>
    </w:p>
    <w:p>
      <w:pPr>
        <w:ind w:firstLine="48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6</w:t>
      </w:r>
      <w:r>
        <w:rPr>
          <w:rFonts w:ascii="仿宋" w:hAnsi="仿宋" w:eastAsia="仿宋"/>
          <w:sz w:val="24"/>
          <w:szCs w:val="24"/>
        </w:rPr>
        <w:t>.</w:t>
      </w:r>
      <w:r>
        <w:rPr>
          <w:rFonts w:hint="eastAsia" w:ascii="仿宋" w:hAnsi="仿宋" w:eastAsia="仿宋"/>
          <w:sz w:val="24"/>
          <w:szCs w:val="24"/>
        </w:rPr>
        <w:t>投标人服务方案（必须包含投标人食品安全承诺：如因投标人提供的食品引起的食品安全事故对消费者造成的损害，由投标人负完全法律责任和经济赔偿责任）。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7</w:t>
      </w:r>
      <w:r>
        <w:rPr>
          <w:rFonts w:ascii="仿宋" w:hAnsi="仿宋" w:eastAsia="仿宋"/>
          <w:sz w:val="24"/>
          <w:szCs w:val="24"/>
        </w:rPr>
        <w:t>.</w:t>
      </w:r>
      <w:r>
        <w:rPr>
          <w:rFonts w:hint="eastAsia" w:ascii="仿宋" w:hAnsi="仿宋" w:eastAsia="仿宋"/>
          <w:sz w:val="24"/>
          <w:szCs w:val="24"/>
        </w:rPr>
        <w:t>投标人单位介绍及其它需要说明的材料。</w:t>
      </w:r>
    </w:p>
    <w:p>
      <w:pPr>
        <w:ind w:firstLine="48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8</w:t>
      </w:r>
      <w:r>
        <w:rPr>
          <w:rFonts w:ascii="仿宋" w:hAnsi="仿宋" w:eastAsia="仿宋"/>
          <w:sz w:val="24"/>
          <w:szCs w:val="24"/>
        </w:rPr>
        <w:t>.</w:t>
      </w:r>
      <w:r>
        <w:rPr>
          <w:rFonts w:hint="eastAsia" w:ascii="仿宋" w:hAnsi="仿宋" w:eastAsia="仿宋"/>
          <w:sz w:val="24"/>
          <w:szCs w:val="24"/>
        </w:rPr>
        <w:t>样品（根据产品清单内容提供）：（</w:t>
      </w: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）</w:t>
      </w:r>
      <w:r>
        <w:rPr>
          <w:rFonts w:ascii="仿宋" w:hAnsi="仿宋" w:eastAsia="仿宋"/>
          <w:sz w:val="24"/>
          <w:szCs w:val="24"/>
        </w:rPr>
        <w:t>6</w:t>
      </w:r>
      <w:r>
        <w:rPr>
          <w:rFonts w:hint="eastAsia" w:ascii="仿宋" w:hAnsi="仿宋" w:eastAsia="仿宋"/>
          <w:sz w:val="24"/>
          <w:szCs w:val="24"/>
        </w:rPr>
        <w:t>吋裱花生日蛋糕</w:t>
      </w: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份；（</w:t>
      </w: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）西式糕点</w:t>
      </w: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种各</w:t>
      </w: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份。</w:t>
      </w:r>
    </w:p>
    <w:p>
      <w:pPr>
        <w:pStyle w:val="3"/>
        <w:ind w:firstLine="420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七、评分办法：</w:t>
      </w:r>
    </w:p>
    <w:p>
      <w:pPr>
        <w:ind w:firstLine="480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本项目由学校招标办组成评标小组进行评分，满分为</w:t>
      </w:r>
      <w:r>
        <w:rPr>
          <w:rFonts w:ascii="仿宋" w:hAnsi="仿宋" w:eastAsia="仿宋"/>
          <w:sz w:val="24"/>
          <w:szCs w:val="24"/>
        </w:rPr>
        <w:t>100</w:t>
      </w:r>
      <w:r>
        <w:rPr>
          <w:rFonts w:hint="eastAsia" w:ascii="仿宋" w:hAnsi="仿宋" w:eastAsia="仿宋"/>
          <w:sz w:val="24"/>
          <w:szCs w:val="24"/>
        </w:rPr>
        <w:t>分，按投标人得分高低进行排序，从高到低依次确定两家供应商。</w:t>
      </w:r>
    </w:p>
    <w:p>
      <w:pPr>
        <w:ind w:firstLine="482"/>
        <w:jc w:val="lef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具体评分标准如下：</w:t>
      </w:r>
    </w:p>
    <w:tbl>
      <w:tblPr>
        <w:tblStyle w:val="25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3544"/>
        <w:gridCol w:w="709"/>
        <w:gridCol w:w="24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序号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评分内容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评分标准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分值</w:t>
            </w:r>
          </w:p>
        </w:tc>
        <w:tc>
          <w:tcPr>
            <w:tcW w:w="2460" w:type="dxa"/>
          </w:tcPr>
          <w:p>
            <w:pPr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资质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法人企业及其分支机构得</w:t>
            </w:r>
            <w:r>
              <w:rPr>
                <w:rFonts w:ascii="仿宋" w:hAnsi="仿宋" w:eastAsia="仿宋"/>
              </w:rPr>
              <w:t>20</w:t>
            </w:r>
            <w:r>
              <w:rPr>
                <w:rFonts w:hint="eastAsia" w:ascii="仿宋" w:hAnsi="仿宋" w:eastAsia="仿宋"/>
              </w:rPr>
              <w:t>分。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个体工商户得</w:t>
            </w:r>
            <w:r>
              <w:rPr>
                <w:rFonts w:ascii="仿宋" w:hAnsi="仿宋" w:eastAsia="仿宋"/>
              </w:rPr>
              <w:t>10</w:t>
            </w:r>
            <w:r>
              <w:rPr>
                <w:rFonts w:hint="eastAsia" w:ascii="仿宋" w:hAnsi="仿宋" w:eastAsia="仿宋"/>
              </w:rPr>
              <w:t>分。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</w:t>
            </w:r>
          </w:p>
        </w:tc>
        <w:tc>
          <w:tcPr>
            <w:tcW w:w="2460" w:type="dxa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服务能力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1.</w:t>
            </w:r>
            <w:r>
              <w:rPr>
                <w:rFonts w:hint="eastAsia" w:ascii="仿宋" w:hAnsi="仿宋" w:eastAsia="仿宋"/>
              </w:rPr>
              <w:t>服务方案</w:t>
            </w:r>
            <w:r>
              <w:rPr>
                <w:rFonts w:ascii="仿宋" w:hAnsi="仿宋" w:eastAsia="仿宋"/>
              </w:rPr>
              <w:t>0-10</w:t>
            </w:r>
            <w:r>
              <w:rPr>
                <w:rFonts w:hint="eastAsia" w:ascii="仿宋" w:hAnsi="仿宋" w:eastAsia="仿宋"/>
              </w:rPr>
              <w:t>分。根据投标人服务方案的完善性酌情评分。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2.</w:t>
            </w:r>
            <w:r>
              <w:rPr>
                <w:rFonts w:hint="eastAsia" w:ascii="仿宋" w:hAnsi="仿宋" w:eastAsia="仿宋"/>
              </w:rPr>
              <w:t>本地化服务能力</w:t>
            </w:r>
            <w:r>
              <w:rPr>
                <w:rFonts w:ascii="仿宋" w:hAnsi="仿宋" w:eastAsia="仿宋"/>
              </w:rPr>
              <w:t>0-10</w:t>
            </w:r>
            <w:r>
              <w:rPr>
                <w:rFonts w:hint="eastAsia" w:ascii="仿宋" w:hAnsi="仿宋" w:eastAsia="仿宋"/>
              </w:rPr>
              <w:t>。根据投标人在湖州市中心城区开设的经营网点数量及分布酌情评分。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</w:t>
            </w:r>
          </w:p>
        </w:tc>
        <w:tc>
          <w:tcPr>
            <w:tcW w:w="2460" w:type="dxa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经营网点情况需提供证明材料：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每个网点提供门面和售卖区照片打印件各</w:t>
            </w:r>
            <w:r>
              <w:rPr>
                <w:rFonts w:ascii="仿宋" w:hAnsi="仿宋" w:eastAsia="仿宋"/>
              </w:rPr>
              <w:t>1</w:t>
            </w:r>
            <w:r>
              <w:rPr>
                <w:rFonts w:hint="eastAsia" w:ascii="仿宋" w:hAnsi="仿宋" w:eastAsia="仿宋"/>
              </w:rPr>
              <w:t>张，需标注地址。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产品清单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每提供一种产品得</w:t>
            </w:r>
            <w:r>
              <w:rPr>
                <w:rFonts w:ascii="仿宋" w:hAnsi="仿宋" w:eastAsia="仿宋"/>
              </w:rPr>
              <w:t>0.5</w:t>
            </w:r>
            <w:r>
              <w:rPr>
                <w:rFonts w:hint="eastAsia" w:ascii="仿宋" w:hAnsi="仿宋" w:eastAsia="仿宋"/>
              </w:rPr>
              <w:t>最高得</w:t>
            </w:r>
            <w:r>
              <w:rPr>
                <w:rFonts w:ascii="仿宋" w:hAnsi="仿宋" w:eastAsia="仿宋"/>
              </w:rPr>
              <w:t>10</w:t>
            </w:r>
            <w:r>
              <w:rPr>
                <w:rFonts w:hint="eastAsia" w:ascii="仿宋" w:hAnsi="仿宋" w:eastAsia="仿宋"/>
              </w:rPr>
              <w:t>分。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</w:t>
            </w:r>
          </w:p>
        </w:tc>
        <w:tc>
          <w:tcPr>
            <w:tcW w:w="2460" w:type="dxa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清单包含：品名、规格、单价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样品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1.</w:t>
            </w:r>
            <w:r>
              <w:rPr>
                <w:rFonts w:hint="eastAsia" w:ascii="仿宋" w:hAnsi="仿宋" w:eastAsia="仿宋"/>
              </w:rPr>
              <w:t>裱花生日蛋糕</w:t>
            </w:r>
            <w:r>
              <w:rPr>
                <w:rFonts w:ascii="仿宋" w:hAnsi="仿宋" w:eastAsia="仿宋"/>
              </w:rPr>
              <w:t>0-10</w:t>
            </w:r>
            <w:r>
              <w:rPr>
                <w:rFonts w:hint="eastAsia" w:ascii="仿宋" w:hAnsi="仿宋" w:eastAsia="仿宋"/>
              </w:rPr>
              <w:t>分；根据花样、口感、制作工艺等酌情评分。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2.</w:t>
            </w:r>
            <w:r>
              <w:rPr>
                <w:rFonts w:hint="eastAsia" w:ascii="仿宋" w:hAnsi="仿宋" w:eastAsia="仿宋"/>
              </w:rPr>
              <w:t>西式糕点</w:t>
            </w:r>
            <w:r>
              <w:rPr>
                <w:rFonts w:ascii="仿宋" w:hAnsi="仿宋" w:eastAsia="仿宋"/>
              </w:rPr>
              <w:t>0-10</w:t>
            </w:r>
            <w:r>
              <w:rPr>
                <w:rFonts w:hint="eastAsia" w:ascii="仿宋" w:hAnsi="仿宋" w:eastAsia="仿宋"/>
              </w:rPr>
              <w:t>分；需提供</w:t>
            </w:r>
            <w:r>
              <w:rPr>
                <w:rFonts w:ascii="仿宋" w:hAnsi="仿宋" w:eastAsia="仿宋"/>
              </w:rPr>
              <w:t>4</w:t>
            </w:r>
            <w:r>
              <w:rPr>
                <w:rFonts w:hint="eastAsia" w:ascii="仿宋" w:hAnsi="仿宋" w:eastAsia="仿宋"/>
              </w:rPr>
              <w:t>种糕点，每种糕点</w:t>
            </w:r>
            <w:r>
              <w:rPr>
                <w:rFonts w:ascii="仿宋" w:hAnsi="仿宋" w:eastAsia="仿宋"/>
              </w:rPr>
              <w:t>0-2.5</w:t>
            </w:r>
            <w:r>
              <w:rPr>
                <w:rFonts w:hint="eastAsia" w:ascii="仿宋" w:hAnsi="仿宋" w:eastAsia="仿宋"/>
              </w:rPr>
              <w:t>分，根据口感、制作工艺等酌情评分。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</w:t>
            </w:r>
          </w:p>
        </w:tc>
        <w:tc>
          <w:tcPr>
            <w:tcW w:w="2460" w:type="dxa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需提供蛋糕分割工具和一次性餐具。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价格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投标报价高于或等于采购预算（单价）的为有效报价；投标报价低于采购采购预算（单价）的为无效报价。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在报价允许范围内，投标人中报价最高的为评标基准价，其价格分为满分，其他投标人的价格分按照下列公式计算：价格分</w:t>
            </w:r>
            <w:r>
              <w:rPr>
                <w:rFonts w:ascii="仿宋" w:hAnsi="仿宋" w:eastAsia="仿宋"/>
              </w:rPr>
              <w:t>=</w:t>
            </w:r>
            <w:r>
              <w:rPr>
                <w:rFonts w:hint="eastAsia" w:ascii="仿宋" w:hAnsi="仿宋" w:eastAsia="仿宋"/>
              </w:rPr>
              <w:t>（投标人报价</w:t>
            </w:r>
            <w:r>
              <w:rPr>
                <w:rFonts w:ascii="仿宋" w:hAnsi="仿宋" w:eastAsia="仿宋"/>
              </w:rPr>
              <w:t>/</w:t>
            </w:r>
            <w:r>
              <w:rPr>
                <w:rFonts w:hint="eastAsia" w:ascii="仿宋" w:hAnsi="仿宋" w:eastAsia="仿宋"/>
              </w:rPr>
              <w:t>评标基准价）×</w:t>
            </w:r>
            <w:r>
              <w:rPr>
                <w:rFonts w:ascii="仿宋" w:hAnsi="仿宋" w:eastAsia="仿宋"/>
              </w:rPr>
              <w:t>30</w:t>
            </w:r>
            <w:r>
              <w:rPr>
                <w:rFonts w:hint="eastAsia" w:ascii="仿宋" w:hAnsi="仿宋" w:eastAsia="仿宋"/>
              </w:rPr>
              <w:t>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30</w:t>
            </w:r>
          </w:p>
        </w:tc>
        <w:tc>
          <w:tcPr>
            <w:tcW w:w="2460" w:type="dxa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</w:tbl>
    <w:p>
      <w:pPr>
        <w:ind w:firstLine="555"/>
        <w:rPr>
          <w:rFonts w:ascii="仿宋" w:hAnsi="仿宋" w:eastAsia="仿宋"/>
          <w:color w:val="FF0000"/>
          <w:sz w:val="24"/>
          <w:szCs w:val="24"/>
        </w:rPr>
      </w:pPr>
    </w:p>
    <w:p>
      <w:pPr>
        <w:pStyle w:val="3"/>
        <w:ind w:firstLine="420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八、订购及付款方式：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由湖州职业技术学院工会向供应商订购教职工生日蛋糕，按照3</w:t>
      </w:r>
      <w:r>
        <w:rPr>
          <w:rFonts w:ascii="仿宋" w:hAnsi="仿宋" w:eastAsia="仿宋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元</w:t>
      </w:r>
      <w:r>
        <w:rPr>
          <w:rFonts w:ascii="仿宋" w:hAnsi="仿宋" w:eastAsia="仿宋"/>
          <w:sz w:val="24"/>
          <w:szCs w:val="24"/>
        </w:rPr>
        <w:t>/</w:t>
      </w:r>
      <w:r>
        <w:rPr>
          <w:rFonts w:hint="eastAsia" w:ascii="仿宋" w:hAnsi="仿宋" w:eastAsia="仿宋"/>
          <w:sz w:val="24"/>
          <w:szCs w:val="24"/>
        </w:rPr>
        <w:t>份（工会会员）的单价与供货商结算并凭供货商开具的发票支付货款，支付方式为分季度结算。</w:t>
      </w:r>
    </w:p>
    <w:p>
      <w:pPr>
        <w:pStyle w:val="3"/>
        <w:ind w:firstLine="420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九、其他：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如发生下列情况者，将取消相关供应商后续年度的投标资格：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1.教职工满意度低，投诉多，口碑差；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2.投标产品清单价格与实际网点销售价格不符；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3.发生食品质量问题的，造成严重后果的还将追究相关供应商法律责任；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4.被相关部门或媒体曝光存在食品质量问题并属实的。</w:t>
      </w:r>
    </w:p>
    <w:p>
      <w:pPr>
        <w:pStyle w:val="3"/>
        <w:ind w:firstLine="420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十、业务咨询：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单位部门：湖州职业技术学院工会；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联系电话：0572-2363353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联系人：杨老师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单位部门：湖州职业技术学院</w:t>
      </w:r>
      <w:r>
        <w:rPr>
          <w:rFonts w:hint="eastAsia" w:ascii="仿宋" w:hAnsi="仿宋" w:eastAsia="仿宋"/>
          <w:sz w:val="24"/>
          <w:szCs w:val="24"/>
          <w:lang w:eastAsia="zh-CN"/>
        </w:rPr>
        <w:t>招标办</w:t>
      </w:r>
      <w:r>
        <w:rPr>
          <w:rFonts w:ascii="仿宋" w:hAnsi="仿宋" w:eastAsia="仿宋"/>
          <w:sz w:val="24"/>
          <w:szCs w:val="24"/>
        </w:rPr>
        <w:t>；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联系电话：0572-2363698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联系人：余老师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联系地址：湖州市学府路299号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 xml:space="preserve">                                       </w:t>
      </w:r>
      <w:r>
        <w:rPr>
          <w:rFonts w:hint="eastAsia" w:ascii="仿宋" w:hAnsi="仿宋" w:eastAsia="仿宋"/>
          <w:sz w:val="24"/>
          <w:szCs w:val="24"/>
          <w:lang w:eastAsia="zh-CN"/>
        </w:rPr>
        <w:t>湖州职业技术学院</w:t>
      </w:r>
      <w:r>
        <w:rPr>
          <w:rFonts w:hint="eastAsia" w:ascii="仿宋" w:hAnsi="仿宋" w:eastAsia="仿宋"/>
          <w:sz w:val="24"/>
          <w:szCs w:val="24"/>
        </w:rPr>
        <w:t>工会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 xml:space="preserve">                                        20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19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ascii="仿宋" w:hAnsi="仿宋" w:eastAsia="仿宋"/>
          <w:sz w:val="24"/>
          <w:szCs w:val="24"/>
        </w:rPr>
        <w:t xml:space="preserve"> 1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27</w:t>
      </w:r>
      <w:r>
        <w:rPr>
          <w:rFonts w:hint="eastAsia" w:ascii="仿宋" w:hAnsi="仿宋" w:eastAsia="仿宋"/>
          <w:sz w:val="24"/>
          <w:szCs w:val="24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nforcement="0"/>
  <w:defaultTabStop w:val="42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balanceSingleByteDoubleByteWidth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70B"/>
    <w:rsid w:val="000069F3"/>
    <w:rsid w:val="000200F2"/>
    <w:rsid w:val="000332E6"/>
    <w:rsid w:val="00036B18"/>
    <w:rsid w:val="00044BBE"/>
    <w:rsid w:val="00086ABD"/>
    <w:rsid w:val="0009092E"/>
    <w:rsid w:val="000E4166"/>
    <w:rsid w:val="000E6678"/>
    <w:rsid w:val="00110B1F"/>
    <w:rsid w:val="00120125"/>
    <w:rsid w:val="00156A2B"/>
    <w:rsid w:val="001573DE"/>
    <w:rsid w:val="00180C36"/>
    <w:rsid w:val="001956DA"/>
    <w:rsid w:val="00217391"/>
    <w:rsid w:val="0023583A"/>
    <w:rsid w:val="0040233C"/>
    <w:rsid w:val="00421FD7"/>
    <w:rsid w:val="004410AF"/>
    <w:rsid w:val="00460819"/>
    <w:rsid w:val="004615B1"/>
    <w:rsid w:val="00476E32"/>
    <w:rsid w:val="0049086A"/>
    <w:rsid w:val="004A6BFB"/>
    <w:rsid w:val="004C155A"/>
    <w:rsid w:val="004D2A2D"/>
    <w:rsid w:val="0054194C"/>
    <w:rsid w:val="0054345A"/>
    <w:rsid w:val="00560600"/>
    <w:rsid w:val="005661F7"/>
    <w:rsid w:val="005F78BD"/>
    <w:rsid w:val="00631111"/>
    <w:rsid w:val="00661BD1"/>
    <w:rsid w:val="0066541A"/>
    <w:rsid w:val="006C326E"/>
    <w:rsid w:val="006C68AC"/>
    <w:rsid w:val="00752489"/>
    <w:rsid w:val="007835E0"/>
    <w:rsid w:val="00791DEB"/>
    <w:rsid w:val="007D696C"/>
    <w:rsid w:val="00817848"/>
    <w:rsid w:val="00820DBD"/>
    <w:rsid w:val="0082770C"/>
    <w:rsid w:val="00842754"/>
    <w:rsid w:val="00852241"/>
    <w:rsid w:val="008A0847"/>
    <w:rsid w:val="008C3655"/>
    <w:rsid w:val="008E5AFE"/>
    <w:rsid w:val="008F4DC4"/>
    <w:rsid w:val="00933E38"/>
    <w:rsid w:val="00985D4D"/>
    <w:rsid w:val="00A50259"/>
    <w:rsid w:val="00AC633A"/>
    <w:rsid w:val="00B43DD9"/>
    <w:rsid w:val="00B8702B"/>
    <w:rsid w:val="00BA13F7"/>
    <w:rsid w:val="00C9470B"/>
    <w:rsid w:val="00CD5774"/>
    <w:rsid w:val="00CE609B"/>
    <w:rsid w:val="00D52715"/>
    <w:rsid w:val="00D84CCD"/>
    <w:rsid w:val="00DF3FFD"/>
    <w:rsid w:val="00E103E0"/>
    <w:rsid w:val="00E16CDB"/>
    <w:rsid w:val="00E20E23"/>
    <w:rsid w:val="00E4706B"/>
    <w:rsid w:val="00E52675"/>
    <w:rsid w:val="00E96FD2"/>
    <w:rsid w:val="00EC7223"/>
    <w:rsid w:val="00F71163"/>
    <w:rsid w:val="00F8758E"/>
    <w:rsid w:val="00FC40CD"/>
    <w:rsid w:val="00FD0E8B"/>
    <w:rsid w:val="154B3E78"/>
    <w:rsid w:val="18D559A4"/>
    <w:rsid w:val="2F67558F"/>
    <w:rsid w:val="30942C20"/>
    <w:rsid w:val="339C7C33"/>
    <w:rsid w:val="68070C4C"/>
    <w:rsid w:val="7F91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name="header"/>
    <w:lsdException w:qFormat="1" w:unhideWhenUsed="0" w:uiPriority="99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iPriority="99" w:name="Balloon Text" w:locked="1"/>
    <w:lsdException w:qFormat="1" w:unhideWhenUsed="0" w:uiPriority="99" w:semiHidden="0" w:name="Table Grid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9"/>
    <w:pPr>
      <w:outlineLvl w:val="0"/>
    </w:pPr>
    <w:rPr>
      <w:sz w:val="28"/>
      <w:szCs w:val="28"/>
    </w:rPr>
  </w:style>
  <w:style w:type="paragraph" w:styleId="3">
    <w:name w:val="heading 2"/>
    <w:basedOn w:val="1"/>
    <w:next w:val="1"/>
    <w:link w:val="31"/>
    <w:qFormat/>
    <w:uiPriority w:val="99"/>
    <w:pPr>
      <w:ind w:firstLine="200" w:firstLineChars="200"/>
      <w:outlineLvl w:val="1"/>
    </w:pPr>
    <w:rPr>
      <w:rFonts w:eastAsia="黑体"/>
    </w:rPr>
  </w:style>
  <w:style w:type="paragraph" w:styleId="4">
    <w:name w:val="heading 3"/>
    <w:basedOn w:val="1"/>
    <w:next w:val="1"/>
    <w:link w:val="32"/>
    <w:qFormat/>
    <w:uiPriority w:val="99"/>
    <w:pPr>
      <w:ind w:left="1000" w:hanging="400"/>
      <w:outlineLvl w:val="2"/>
    </w:pPr>
  </w:style>
  <w:style w:type="paragraph" w:styleId="5">
    <w:name w:val="heading 4"/>
    <w:basedOn w:val="1"/>
    <w:next w:val="1"/>
    <w:link w:val="33"/>
    <w:qFormat/>
    <w:uiPriority w:val="99"/>
    <w:pPr>
      <w:ind w:left="1200" w:hanging="400"/>
      <w:outlineLvl w:val="3"/>
    </w:pPr>
    <w:rPr>
      <w:b/>
    </w:rPr>
  </w:style>
  <w:style w:type="paragraph" w:styleId="6">
    <w:name w:val="heading 5"/>
    <w:basedOn w:val="1"/>
    <w:next w:val="1"/>
    <w:link w:val="34"/>
    <w:qFormat/>
    <w:uiPriority w:val="99"/>
    <w:pPr>
      <w:ind w:left="1400" w:hanging="400"/>
      <w:outlineLvl w:val="4"/>
    </w:pPr>
  </w:style>
  <w:style w:type="paragraph" w:styleId="7">
    <w:name w:val="heading 6"/>
    <w:basedOn w:val="1"/>
    <w:next w:val="1"/>
    <w:link w:val="35"/>
    <w:qFormat/>
    <w:uiPriority w:val="99"/>
    <w:pPr>
      <w:ind w:left="1600" w:hanging="400"/>
      <w:outlineLvl w:val="5"/>
    </w:pPr>
    <w:rPr>
      <w:b/>
    </w:rPr>
  </w:style>
  <w:style w:type="paragraph" w:styleId="8">
    <w:name w:val="heading 7"/>
    <w:basedOn w:val="1"/>
    <w:next w:val="1"/>
    <w:link w:val="36"/>
    <w:qFormat/>
    <w:uiPriority w:val="99"/>
    <w:pPr>
      <w:ind w:left="1800" w:hanging="400"/>
      <w:outlineLvl w:val="6"/>
    </w:pPr>
  </w:style>
  <w:style w:type="paragraph" w:styleId="9">
    <w:name w:val="heading 8"/>
    <w:basedOn w:val="1"/>
    <w:next w:val="1"/>
    <w:link w:val="37"/>
    <w:qFormat/>
    <w:uiPriority w:val="99"/>
    <w:pPr>
      <w:ind w:left="2000" w:hanging="400"/>
      <w:outlineLvl w:val="7"/>
    </w:pPr>
  </w:style>
  <w:style w:type="paragraph" w:styleId="10">
    <w:name w:val="heading 9"/>
    <w:basedOn w:val="1"/>
    <w:next w:val="1"/>
    <w:link w:val="38"/>
    <w:qFormat/>
    <w:uiPriority w:val="99"/>
    <w:pPr>
      <w:ind w:left="2200" w:hanging="400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99"/>
    <w:pPr>
      <w:ind w:left="2550"/>
    </w:pPr>
  </w:style>
  <w:style w:type="paragraph" w:styleId="12">
    <w:name w:val="toc 5"/>
    <w:basedOn w:val="1"/>
    <w:next w:val="1"/>
    <w:qFormat/>
    <w:uiPriority w:val="99"/>
    <w:pPr>
      <w:ind w:left="1700"/>
    </w:pPr>
  </w:style>
  <w:style w:type="paragraph" w:styleId="13">
    <w:name w:val="toc 3"/>
    <w:basedOn w:val="1"/>
    <w:next w:val="1"/>
    <w:qFormat/>
    <w:uiPriority w:val="99"/>
    <w:pPr>
      <w:ind w:left="850"/>
    </w:pPr>
  </w:style>
  <w:style w:type="paragraph" w:styleId="14">
    <w:name w:val="toc 8"/>
    <w:basedOn w:val="1"/>
    <w:next w:val="1"/>
    <w:qFormat/>
    <w:uiPriority w:val="99"/>
    <w:pPr>
      <w:ind w:left="2975"/>
    </w:pPr>
  </w:style>
  <w:style w:type="paragraph" w:styleId="15">
    <w:name w:val="Balloon Text"/>
    <w:basedOn w:val="1"/>
    <w:link w:val="55"/>
    <w:semiHidden/>
    <w:unhideWhenUsed/>
    <w:qFormat/>
    <w:locked/>
    <w:uiPriority w:val="99"/>
    <w:rPr>
      <w:sz w:val="18"/>
      <w:szCs w:val="18"/>
    </w:rPr>
  </w:style>
  <w:style w:type="paragraph" w:styleId="16">
    <w:name w:val="footer"/>
    <w:basedOn w:val="1"/>
    <w:link w:val="54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5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qFormat/>
    <w:uiPriority w:val="99"/>
  </w:style>
  <w:style w:type="paragraph" w:styleId="19">
    <w:name w:val="toc 4"/>
    <w:basedOn w:val="1"/>
    <w:next w:val="1"/>
    <w:qFormat/>
    <w:uiPriority w:val="99"/>
    <w:pPr>
      <w:ind w:left="1275"/>
    </w:pPr>
  </w:style>
  <w:style w:type="paragraph" w:styleId="20">
    <w:name w:val="Subtitle"/>
    <w:basedOn w:val="1"/>
    <w:link w:val="41"/>
    <w:qFormat/>
    <w:uiPriority w:val="99"/>
    <w:pPr>
      <w:jc w:val="center"/>
    </w:pPr>
    <w:rPr>
      <w:sz w:val="24"/>
      <w:szCs w:val="24"/>
    </w:rPr>
  </w:style>
  <w:style w:type="paragraph" w:styleId="21">
    <w:name w:val="toc 6"/>
    <w:basedOn w:val="1"/>
    <w:next w:val="1"/>
    <w:qFormat/>
    <w:uiPriority w:val="99"/>
    <w:pPr>
      <w:ind w:left="2125"/>
    </w:pPr>
  </w:style>
  <w:style w:type="paragraph" w:styleId="22">
    <w:name w:val="toc 2"/>
    <w:basedOn w:val="1"/>
    <w:next w:val="1"/>
    <w:qFormat/>
    <w:uiPriority w:val="99"/>
    <w:pPr>
      <w:ind w:left="425"/>
    </w:pPr>
  </w:style>
  <w:style w:type="paragraph" w:styleId="23">
    <w:name w:val="toc 9"/>
    <w:basedOn w:val="1"/>
    <w:next w:val="1"/>
    <w:qFormat/>
    <w:uiPriority w:val="99"/>
    <w:pPr>
      <w:ind w:left="3400"/>
    </w:pPr>
  </w:style>
  <w:style w:type="paragraph" w:styleId="24">
    <w:name w:val="Title"/>
    <w:basedOn w:val="1"/>
    <w:link w:val="40"/>
    <w:qFormat/>
    <w:uiPriority w:val="99"/>
    <w:pPr>
      <w:jc w:val="center"/>
    </w:pPr>
    <w:rPr>
      <w:b/>
      <w:sz w:val="32"/>
      <w:szCs w:val="32"/>
    </w:rPr>
  </w:style>
  <w:style w:type="table" w:styleId="26">
    <w:name w:val="Table Grid"/>
    <w:basedOn w:val="2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8">
    <w:name w:val="Strong"/>
    <w:qFormat/>
    <w:uiPriority w:val="99"/>
    <w:rPr>
      <w:rFonts w:cs="Times New Roman"/>
      <w:b/>
      <w:w w:val="100"/>
      <w:sz w:val="21"/>
      <w:shd w:val="clear" w:color="auto" w:fill="auto"/>
    </w:rPr>
  </w:style>
  <w:style w:type="character" w:styleId="29">
    <w:name w:val="Emphasis"/>
    <w:qFormat/>
    <w:uiPriority w:val="99"/>
    <w:rPr>
      <w:rFonts w:cs="Times New Roman"/>
      <w:i/>
      <w:w w:val="100"/>
      <w:sz w:val="21"/>
      <w:shd w:val="clear" w:color="auto" w:fill="auto"/>
    </w:rPr>
  </w:style>
  <w:style w:type="character" w:customStyle="1" w:styleId="30">
    <w:name w:val="标题 1 Char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31">
    <w:name w:val="标题 2 Char"/>
    <w:link w:val="3"/>
    <w:qFormat/>
    <w:locked/>
    <w:uiPriority w:val="99"/>
    <w:rPr>
      <w:rFonts w:eastAsia="黑体"/>
      <w:sz w:val="21"/>
      <w:szCs w:val="21"/>
    </w:rPr>
  </w:style>
  <w:style w:type="character" w:customStyle="1" w:styleId="32">
    <w:name w:val="标题 3 Char"/>
    <w:link w:val="4"/>
    <w:semiHidden/>
    <w:qFormat/>
    <w:locked/>
    <w:uiPriority w:val="99"/>
    <w:rPr>
      <w:rFonts w:cs="Times New Roman"/>
      <w:b/>
      <w:bCs/>
      <w:kern w:val="0"/>
      <w:sz w:val="32"/>
      <w:szCs w:val="32"/>
    </w:rPr>
  </w:style>
  <w:style w:type="character" w:customStyle="1" w:styleId="33">
    <w:name w:val="标题 4 Char"/>
    <w:link w:val="5"/>
    <w:semiHidden/>
    <w:qFormat/>
    <w:locked/>
    <w:uiPriority w:val="99"/>
    <w:rPr>
      <w:rFonts w:ascii="Cambria" w:hAnsi="Cambria" w:eastAsia="宋体" w:cs="Times New Roman"/>
      <w:b/>
      <w:bCs/>
      <w:kern w:val="0"/>
      <w:sz w:val="28"/>
      <w:szCs w:val="28"/>
    </w:rPr>
  </w:style>
  <w:style w:type="character" w:customStyle="1" w:styleId="34">
    <w:name w:val="标题 5 Char"/>
    <w:link w:val="6"/>
    <w:semiHidden/>
    <w:qFormat/>
    <w:locked/>
    <w:uiPriority w:val="99"/>
    <w:rPr>
      <w:rFonts w:cs="Times New Roman"/>
      <w:b/>
      <w:bCs/>
      <w:kern w:val="0"/>
      <w:sz w:val="28"/>
      <w:szCs w:val="28"/>
    </w:rPr>
  </w:style>
  <w:style w:type="character" w:customStyle="1" w:styleId="35">
    <w:name w:val="标题 6 Char"/>
    <w:link w:val="7"/>
    <w:semiHidden/>
    <w:qFormat/>
    <w:locked/>
    <w:uiPriority w:val="99"/>
    <w:rPr>
      <w:rFonts w:ascii="Cambria" w:hAnsi="Cambria" w:eastAsia="宋体" w:cs="Times New Roman"/>
      <w:b/>
      <w:bCs/>
      <w:kern w:val="0"/>
      <w:sz w:val="24"/>
      <w:szCs w:val="24"/>
    </w:rPr>
  </w:style>
  <w:style w:type="character" w:customStyle="1" w:styleId="36">
    <w:name w:val="标题 7 Char"/>
    <w:link w:val="8"/>
    <w:semiHidden/>
    <w:qFormat/>
    <w:locked/>
    <w:uiPriority w:val="99"/>
    <w:rPr>
      <w:rFonts w:cs="Times New Roman"/>
      <w:b/>
      <w:bCs/>
      <w:kern w:val="0"/>
      <w:sz w:val="24"/>
      <w:szCs w:val="24"/>
    </w:rPr>
  </w:style>
  <w:style w:type="character" w:customStyle="1" w:styleId="37">
    <w:name w:val="标题 8 Char"/>
    <w:link w:val="9"/>
    <w:semiHidden/>
    <w:qFormat/>
    <w:locked/>
    <w:uiPriority w:val="99"/>
    <w:rPr>
      <w:rFonts w:ascii="Cambria" w:hAnsi="Cambria" w:eastAsia="宋体" w:cs="Times New Roman"/>
      <w:kern w:val="0"/>
      <w:sz w:val="24"/>
      <w:szCs w:val="24"/>
    </w:rPr>
  </w:style>
  <w:style w:type="character" w:customStyle="1" w:styleId="38">
    <w:name w:val="标题 9 Char"/>
    <w:link w:val="10"/>
    <w:semiHidden/>
    <w:qFormat/>
    <w:locked/>
    <w:uiPriority w:val="99"/>
    <w:rPr>
      <w:rFonts w:ascii="Cambria" w:hAnsi="Cambria" w:eastAsia="宋体" w:cs="Times New Roman"/>
      <w:kern w:val="0"/>
      <w:sz w:val="21"/>
      <w:szCs w:val="21"/>
    </w:rPr>
  </w:style>
  <w:style w:type="paragraph" w:styleId="39">
    <w:name w:val="No Spacing"/>
    <w:qFormat/>
    <w:uiPriority w:val="99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customStyle="1" w:styleId="40">
    <w:name w:val="标题 Char"/>
    <w:link w:val="24"/>
    <w:qFormat/>
    <w:locked/>
    <w:uiPriority w:val="99"/>
    <w:rPr>
      <w:rFonts w:ascii="Cambria" w:hAnsi="Cambria" w:cs="Times New Roman"/>
      <w:b/>
      <w:bCs/>
      <w:kern w:val="0"/>
      <w:sz w:val="32"/>
      <w:szCs w:val="32"/>
    </w:rPr>
  </w:style>
  <w:style w:type="character" w:customStyle="1" w:styleId="41">
    <w:name w:val="副标题 Char"/>
    <w:link w:val="20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42">
    <w:name w:val="Subtle Emphasis"/>
    <w:qFormat/>
    <w:uiPriority w:val="99"/>
    <w:rPr>
      <w:rFonts w:cs="Times New Roman"/>
      <w:i/>
      <w:color w:val="404040"/>
      <w:w w:val="100"/>
      <w:sz w:val="21"/>
      <w:shd w:val="clear" w:color="auto" w:fill="auto"/>
    </w:rPr>
  </w:style>
  <w:style w:type="character" w:customStyle="1" w:styleId="43">
    <w:name w:val="Intense Emphasis"/>
    <w:qFormat/>
    <w:uiPriority w:val="99"/>
    <w:rPr>
      <w:rFonts w:cs="Times New Roman"/>
      <w:i/>
      <w:color w:val="5B9BD5"/>
      <w:w w:val="100"/>
      <w:sz w:val="21"/>
      <w:shd w:val="clear" w:color="auto" w:fill="auto"/>
    </w:rPr>
  </w:style>
  <w:style w:type="paragraph" w:styleId="44">
    <w:name w:val="Quote"/>
    <w:basedOn w:val="1"/>
    <w:link w:val="45"/>
    <w:qFormat/>
    <w:uiPriority w:val="99"/>
    <w:pPr>
      <w:ind w:left="864" w:right="864"/>
      <w:jc w:val="center"/>
    </w:pPr>
    <w:rPr>
      <w:i/>
      <w:color w:val="404040"/>
    </w:rPr>
  </w:style>
  <w:style w:type="character" w:customStyle="1" w:styleId="45">
    <w:name w:val="引用 Char"/>
    <w:link w:val="44"/>
    <w:qFormat/>
    <w:locked/>
    <w:uiPriority w:val="99"/>
    <w:rPr>
      <w:rFonts w:cs="Times New Roman"/>
      <w:i/>
      <w:iCs/>
      <w:color w:val="000000"/>
      <w:kern w:val="0"/>
      <w:sz w:val="21"/>
      <w:szCs w:val="21"/>
    </w:rPr>
  </w:style>
  <w:style w:type="paragraph" w:styleId="46">
    <w:name w:val="Intense Quote"/>
    <w:basedOn w:val="1"/>
    <w:link w:val="47"/>
    <w:qFormat/>
    <w:uiPriority w:val="99"/>
    <w:pPr>
      <w:ind w:left="950" w:right="950"/>
      <w:jc w:val="center"/>
    </w:pPr>
    <w:rPr>
      <w:i/>
      <w:color w:val="5B9BD5"/>
    </w:rPr>
  </w:style>
  <w:style w:type="character" w:customStyle="1" w:styleId="47">
    <w:name w:val="明显引用 Char"/>
    <w:link w:val="46"/>
    <w:qFormat/>
    <w:locked/>
    <w:uiPriority w:val="99"/>
    <w:rPr>
      <w:rFonts w:cs="Times New Roman"/>
      <w:b/>
      <w:bCs/>
      <w:i/>
      <w:iCs/>
      <w:color w:val="4F81BD"/>
      <w:kern w:val="0"/>
      <w:sz w:val="21"/>
      <w:szCs w:val="21"/>
    </w:rPr>
  </w:style>
  <w:style w:type="character" w:customStyle="1" w:styleId="48">
    <w:name w:val="Subtle Reference"/>
    <w:qFormat/>
    <w:uiPriority w:val="99"/>
    <w:rPr>
      <w:rFonts w:cs="Times New Roman"/>
      <w:smallCaps/>
      <w:color w:val="5A5A5A"/>
      <w:w w:val="100"/>
      <w:sz w:val="21"/>
      <w:shd w:val="clear" w:color="auto" w:fill="auto"/>
    </w:rPr>
  </w:style>
  <w:style w:type="character" w:customStyle="1" w:styleId="49">
    <w:name w:val="Intense Reference"/>
    <w:qFormat/>
    <w:uiPriority w:val="99"/>
    <w:rPr>
      <w:rFonts w:cs="Times New Roman"/>
      <w:b/>
      <w:smallCaps/>
      <w:color w:val="5B9BD5"/>
      <w:w w:val="100"/>
      <w:sz w:val="21"/>
      <w:shd w:val="clear" w:color="auto" w:fill="auto"/>
    </w:rPr>
  </w:style>
  <w:style w:type="character" w:customStyle="1" w:styleId="50">
    <w:name w:val="Book Title"/>
    <w:qFormat/>
    <w:uiPriority w:val="99"/>
    <w:rPr>
      <w:rFonts w:cs="Times New Roman"/>
      <w:b/>
      <w:i/>
      <w:w w:val="100"/>
      <w:sz w:val="21"/>
      <w:shd w:val="clear" w:color="auto" w:fill="auto"/>
    </w:rPr>
  </w:style>
  <w:style w:type="paragraph" w:styleId="51">
    <w:name w:val="List Paragraph"/>
    <w:basedOn w:val="1"/>
    <w:qFormat/>
    <w:uiPriority w:val="99"/>
    <w:pPr>
      <w:ind w:firstLine="420"/>
    </w:pPr>
  </w:style>
  <w:style w:type="paragraph" w:customStyle="1" w:styleId="52">
    <w:name w:val="TOC Heading"/>
    <w:basedOn w:val="2"/>
    <w:qFormat/>
    <w:uiPriority w:val="99"/>
    <w:pPr>
      <w:jc w:val="left"/>
      <w:outlineLvl w:val="9"/>
    </w:pPr>
    <w:rPr>
      <w:color w:val="2E74B5"/>
      <w:sz w:val="32"/>
      <w:szCs w:val="32"/>
    </w:rPr>
  </w:style>
  <w:style w:type="character" w:customStyle="1" w:styleId="53">
    <w:name w:val="页眉 Char"/>
    <w:link w:val="17"/>
    <w:semiHidden/>
    <w:qFormat/>
    <w:locked/>
    <w:uiPriority w:val="99"/>
    <w:rPr>
      <w:rFonts w:cs="Times New Roman"/>
      <w:sz w:val="18"/>
      <w:szCs w:val="18"/>
    </w:rPr>
  </w:style>
  <w:style w:type="character" w:customStyle="1" w:styleId="54">
    <w:name w:val="页脚 Char"/>
    <w:link w:val="16"/>
    <w:semiHidden/>
    <w:qFormat/>
    <w:locked/>
    <w:uiPriority w:val="99"/>
    <w:rPr>
      <w:rFonts w:cs="Times New Roman"/>
      <w:sz w:val="18"/>
      <w:szCs w:val="18"/>
    </w:rPr>
  </w:style>
  <w:style w:type="character" w:customStyle="1" w:styleId="55">
    <w:name w:val="批注框文本 Char"/>
    <w:link w:val="15"/>
    <w:semiHidden/>
    <w:qFormat/>
    <w:uiPriority w:val="99"/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318</Words>
  <Characters>1819</Characters>
  <Lines>15</Lines>
  <Paragraphs>4</Paragraphs>
  <TotalTime>11</TotalTime>
  <ScaleCrop>false</ScaleCrop>
  <LinksUpToDate>false</LinksUpToDate>
  <CharactersWithSpaces>2133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2017-12-19T06:05:00Z</dcterms:created>
  <dc:creator>沈艺</dc:creator>
  <cp:lastModifiedBy>ZERO1403059588</cp:lastModifiedBy>
  <cp:lastPrinted>2018-12-11T02:06:00Z</cp:lastPrinted>
  <dcterms:modified xsi:type="dcterms:W3CDTF">2019-11-27T06:19:58Z</dcterms:modified>
  <dc:title>湖州职业技术学院工会教职工生日蛋糕供应招标文件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